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F1" w:rsidRDefault="00CF6BF1" w:rsidP="00CF6BF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6B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Анализ итогов мониторинга </w:t>
      </w:r>
    </w:p>
    <w:p w:rsidR="00CF6BF1" w:rsidRPr="00CF6BF1" w:rsidRDefault="00CF6BF1" w:rsidP="00CF6BF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6BF1">
        <w:rPr>
          <w:rFonts w:ascii="Times New Roman" w:hAnsi="Times New Roman" w:cs="Times New Roman"/>
          <w:b/>
          <w:bCs/>
          <w:iCs/>
          <w:sz w:val="28"/>
          <w:szCs w:val="28"/>
        </w:rPr>
        <w:t>объективности результатов оценочных процедур</w:t>
      </w:r>
    </w:p>
    <w:p w:rsidR="00CF6BF1" w:rsidRPr="00CF6BF1" w:rsidRDefault="00CF6BF1" w:rsidP="00931C1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53AC" w:rsidRPr="00CF6BF1" w:rsidRDefault="00931C10" w:rsidP="00CF6BF1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F6BF1">
        <w:rPr>
          <w:rFonts w:ascii="Times New Roman" w:hAnsi="Times New Roman" w:cs="Times New Roman"/>
          <w:bCs/>
          <w:iCs/>
          <w:sz w:val="28"/>
          <w:szCs w:val="28"/>
        </w:rPr>
        <w:t>Карта критериальной оценки учебного предмета</w:t>
      </w:r>
    </w:p>
    <w:p w:rsidR="00931C10" w:rsidRDefault="00931C10" w:rsidP="00CF6BF1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F6BF1">
        <w:rPr>
          <w:rFonts w:ascii="Times New Roman" w:hAnsi="Times New Roman" w:cs="Times New Roman"/>
          <w:bCs/>
          <w:iCs/>
          <w:sz w:val="28"/>
          <w:szCs w:val="28"/>
        </w:rPr>
        <w:t>Математика 5 класс</w:t>
      </w:r>
    </w:p>
    <w:p w:rsidR="00CF6BF1" w:rsidRPr="00CF6BF1" w:rsidRDefault="00CF6BF1" w:rsidP="00CF6BF1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013"/>
        <w:gridCol w:w="1144"/>
        <w:gridCol w:w="1063"/>
        <w:gridCol w:w="1063"/>
        <w:gridCol w:w="1064"/>
        <w:gridCol w:w="1064"/>
        <w:gridCol w:w="1079"/>
        <w:gridCol w:w="1064"/>
      </w:tblGrid>
      <w:tr w:rsidR="00931C10" w:rsidTr="0008519F">
        <w:tc>
          <w:tcPr>
            <w:tcW w:w="567" w:type="dxa"/>
          </w:tcPr>
          <w:p w:rsidR="00931C10" w:rsidRDefault="00931C10" w:rsidP="00931C10">
            <w:pPr>
              <w:jc w:val="center"/>
            </w:pPr>
            <w:r>
              <w:t>№</w:t>
            </w:r>
          </w:p>
        </w:tc>
        <w:tc>
          <w:tcPr>
            <w:tcW w:w="2013" w:type="dxa"/>
          </w:tcPr>
          <w:p w:rsidR="00931C10" w:rsidRDefault="00931C10" w:rsidP="00931C10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Ф.И. обучающегося </w:t>
            </w:r>
          </w:p>
          <w:p w:rsidR="00931C10" w:rsidRDefault="00931C10" w:rsidP="00931C10">
            <w:pPr>
              <w:jc w:val="center"/>
            </w:pPr>
          </w:p>
        </w:tc>
        <w:tc>
          <w:tcPr>
            <w:tcW w:w="1144" w:type="dxa"/>
          </w:tcPr>
          <w:p w:rsidR="00931C10" w:rsidRDefault="00931C10" w:rsidP="00931C10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Итог прошлого учебнго года </w:t>
            </w:r>
          </w:p>
          <w:p w:rsidR="00931C10" w:rsidRDefault="00931C10" w:rsidP="00931C10">
            <w:pPr>
              <w:jc w:val="center"/>
            </w:pPr>
          </w:p>
        </w:tc>
        <w:tc>
          <w:tcPr>
            <w:tcW w:w="1063" w:type="dxa"/>
          </w:tcPr>
          <w:p w:rsidR="00931C10" w:rsidRDefault="00931C10" w:rsidP="00931C10">
            <w:pPr>
              <w:jc w:val="center"/>
            </w:pPr>
            <w:r>
              <w:t>Итог 1 четверти</w:t>
            </w:r>
          </w:p>
        </w:tc>
        <w:tc>
          <w:tcPr>
            <w:tcW w:w="1063" w:type="dxa"/>
          </w:tcPr>
          <w:p w:rsidR="00931C10" w:rsidRDefault="00931C10" w:rsidP="00931C10">
            <w:pPr>
              <w:jc w:val="center"/>
            </w:pPr>
            <w:r>
              <w:t>Итог 2 четверти</w:t>
            </w:r>
          </w:p>
        </w:tc>
        <w:tc>
          <w:tcPr>
            <w:tcW w:w="1064" w:type="dxa"/>
          </w:tcPr>
          <w:p w:rsidR="00931C10" w:rsidRDefault="00931C10" w:rsidP="00931C10">
            <w:pPr>
              <w:jc w:val="center"/>
            </w:pPr>
            <w:r>
              <w:t>Итог 3 четверти</w:t>
            </w:r>
          </w:p>
        </w:tc>
        <w:tc>
          <w:tcPr>
            <w:tcW w:w="1064" w:type="dxa"/>
          </w:tcPr>
          <w:p w:rsidR="00931C10" w:rsidRDefault="00931C10" w:rsidP="00931C10">
            <w:pPr>
              <w:jc w:val="center"/>
            </w:pPr>
            <w:r>
              <w:t>Итог 4 четверти</w:t>
            </w:r>
          </w:p>
        </w:tc>
        <w:tc>
          <w:tcPr>
            <w:tcW w:w="1079" w:type="dxa"/>
          </w:tcPr>
          <w:p w:rsidR="00931C10" w:rsidRDefault="00931C10" w:rsidP="00931C10">
            <w:pPr>
              <w:jc w:val="center"/>
            </w:pPr>
            <w:r>
              <w:t>Итог текущего учебного года</w:t>
            </w:r>
          </w:p>
        </w:tc>
        <w:tc>
          <w:tcPr>
            <w:tcW w:w="1064" w:type="dxa"/>
          </w:tcPr>
          <w:p w:rsidR="00931C10" w:rsidRDefault="00931C10" w:rsidP="00931C10">
            <w:pPr>
              <w:jc w:val="center"/>
            </w:pPr>
            <w:r>
              <w:t>Итог ВПР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931C10">
            <w:pPr>
              <w:jc w:val="center"/>
            </w:pPr>
            <w:r>
              <w:t>1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Белокурова Д.</w:t>
            </w:r>
          </w:p>
        </w:tc>
        <w:tc>
          <w:tcPr>
            <w:tcW w:w="114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931C10">
            <w:pPr>
              <w:jc w:val="center"/>
            </w:pPr>
            <w:r>
              <w:t>2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Бурманова С.</w:t>
            </w:r>
          </w:p>
        </w:tc>
        <w:tc>
          <w:tcPr>
            <w:tcW w:w="114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Tr="00EB20D1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3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Ермашева В.</w:t>
            </w:r>
          </w:p>
        </w:tc>
        <w:tc>
          <w:tcPr>
            <w:tcW w:w="114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Tr="00EB20D1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4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Зайнулина А.</w:t>
            </w:r>
          </w:p>
        </w:tc>
        <w:tc>
          <w:tcPr>
            <w:tcW w:w="1144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79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</w:tr>
      <w:tr w:rsidR="00931C10" w:rsidTr="00EB20D1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5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Захаров Р.</w:t>
            </w:r>
          </w:p>
        </w:tc>
        <w:tc>
          <w:tcPr>
            <w:tcW w:w="1144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79" w:type="dxa"/>
            <w:shd w:val="clear" w:color="auto" w:fill="548DD4" w:themeFill="text2" w:themeFillTint="99"/>
          </w:tcPr>
          <w:p w:rsidR="00931C10" w:rsidRDefault="00EB20D1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00B050"/>
          </w:tcPr>
          <w:p w:rsidR="00931C10" w:rsidRDefault="0008519F" w:rsidP="00931C10">
            <w:pPr>
              <w:jc w:val="center"/>
            </w:pPr>
            <w:r>
              <w:t>5</w:t>
            </w:r>
          </w:p>
        </w:tc>
      </w:tr>
      <w:tr w:rsidR="00931C10" w:rsidTr="00813CC0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6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Игнатьева Е.</w:t>
            </w:r>
          </w:p>
        </w:tc>
        <w:tc>
          <w:tcPr>
            <w:tcW w:w="1144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00B0F0"/>
          </w:tcPr>
          <w:p w:rsidR="00931C10" w:rsidRDefault="00813CC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00B0F0"/>
          </w:tcPr>
          <w:p w:rsidR="00931C10" w:rsidRDefault="00813CC0" w:rsidP="00931C10">
            <w:pPr>
              <w:jc w:val="center"/>
            </w:pPr>
            <w:r>
              <w:t>4</w:t>
            </w:r>
          </w:p>
        </w:tc>
        <w:tc>
          <w:tcPr>
            <w:tcW w:w="1079" w:type="dxa"/>
            <w:shd w:val="clear" w:color="auto" w:fill="00B0F0"/>
          </w:tcPr>
          <w:p w:rsidR="00931C10" w:rsidRDefault="00813CC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</w:tr>
      <w:tr w:rsidR="00931C10" w:rsidTr="00EB20D1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7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Кожехметова А.</w:t>
            </w:r>
          </w:p>
        </w:tc>
        <w:tc>
          <w:tcPr>
            <w:tcW w:w="114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Tr="00EB20D1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8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 xml:space="preserve">Коряков И. </w:t>
            </w:r>
          </w:p>
        </w:tc>
        <w:tc>
          <w:tcPr>
            <w:tcW w:w="1144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63" w:type="dxa"/>
            <w:shd w:val="clear" w:color="auto" w:fill="00B050"/>
          </w:tcPr>
          <w:p w:rsidR="00931C10" w:rsidRDefault="00931C10" w:rsidP="00931C10">
            <w:pPr>
              <w:jc w:val="center"/>
            </w:pPr>
            <w:r>
              <w:t>5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79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00B050"/>
          </w:tcPr>
          <w:p w:rsidR="00931C10" w:rsidRDefault="0008519F" w:rsidP="00931C10">
            <w:pPr>
              <w:jc w:val="center"/>
            </w:pPr>
            <w:r>
              <w:t>5</w:t>
            </w:r>
          </w:p>
        </w:tc>
      </w:tr>
      <w:tr w:rsidR="00931C10" w:rsidTr="00EB20D1">
        <w:tc>
          <w:tcPr>
            <w:tcW w:w="567" w:type="dxa"/>
          </w:tcPr>
          <w:p w:rsidR="00931C10" w:rsidRDefault="00EB20D1" w:rsidP="00931C10">
            <w:pPr>
              <w:jc w:val="center"/>
            </w:pPr>
            <w:r>
              <w:t>9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 xml:space="preserve">Косинцева Е. </w:t>
            </w:r>
          </w:p>
        </w:tc>
        <w:tc>
          <w:tcPr>
            <w:tcW w:w="114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0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Мукужанова Н.</w:t>
            </w:r>
          </w:p>
        </w:tc>
        <w:tc>
          <w:tcPr>
            <w:tcW w:w="114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Tr="00813CC0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1</w:t>
            </w:r>
          </w:p>
        </w:tc>
        <w:tc>
          <w:tcPr>
            <w:tcW w:w="2013" w:type="dxa"/>
          </w:tcPr>
          <w:p w:rsidR="00931C10" w:rsidRDefault="00931C10" w:rsidP="00931C10">
            <w:pPr>
              <w:jc w:val="center"/>
            </w:pPr>
            <w:r>
              <w:t>Новоселов Д.</w:t>
            </w:r>
          </w:p>
        </w:tc>
        <w:tc>
          <w:tcPr>
            <w:tcW w:w="1144" w:type="dxa"/>
            <w:shd w:val="clear" w:color="auto" w:fill="548DD4" w:themeFill="text2" w:themeFillTint="99"/>
          </w:tcPr>
          <w:p w:rsidR="00931C10" w:rsidRDefault="00A84817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931C10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931C10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Pr="00813CC0" w:rsidRDefault="00813CC0" w:rsidP="00931C10">
            <w:pPr>
              <w:jc w:val="center"/>
            </w:pPr>
            <w:r w:rsidRPr="00813CC0">
              <w:t>3</w:t>
            </w:r>
          </w:p>
        </w:tc>
      </w:tr>
      <w:tr w:rsidR="00931C10" w:rsidTr="00813CC0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2</w:t>
            </w:r>
          </w:p>
        </w:tc>
        <w:tc>
          <w:tcPr>
            <w:tcW w:w="2013" w:type="dxa"/>
          </w:tcPr>
          <w:p w:rsidR="00931C10" w:rsidRDefault="00A84817" w:rsidP="00931C10">
            <w:pPr>
              <w:jc w:val="center"/>
            </w:pPr>
            <w:r>
              <w:t>Попов А.</w:t>
            </w:r>
          </w:p>
        </w:tc>
        <w:tc>
          <w:tcPr>
            <w:tcW w:w="1144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813CC0" w:rsidP="00931C10">
            <w:pPr>
              <w:jc w:val="center"/>
            </w:pPr>
            <w:r>
              <w:t>3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3</w:t>
            </w:r>
          </w:p>
        </w:tc>
        <w:tc>
          <w:tcPr>
            <w:tcW w:w="2013" w:type="dxa"/>
          </w:tcPr>
          <w:p w:rsidR="00931C10" w:rsidRDefault="00A84817" w:rsidP="00931C10">
            <w:pPr>
              <w:jc w:val="center"/>
            </w:pPr>
            <w:r>
              <w:t>Раисов М.</w:t>
            </w:r>
          </w:p>
        </w:tc>
        <w:tc>
          <w:tcPr>
            <w:tcW w:w="1144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4</w:t>
            </w:r>
          </w:p>
        </w:tc>
        <w:tc>
          <w:tcPr>
            <w:tcW w:w="2013" w:type="dxa"/>
          </w:tcPr>
          <w:p w:rsidR="00931C10" w:rsidRDefault="00A84817" w:rsidP="00931C10">
            <w:pPr>
              <w:jc w:val="center"/>
            </w:pPr>
            <w:r>
              <w:t xml:space="preserve">Садыкова М. </w:t>
            </w:r>
          </w:p>
        </w:tc>
        <w:tc>
          <w:tcPr>
            <w:tcW w:w="1144" w:type="dxa"/>
            <w:shd w:val="clear" w:color="auto" w:fill="548DD4" w:themeFill="text2" w:themeFillTint="99"/>
          </w:tcPr>
          <w:p w:rsidR="00931C10" w:rsidRDefault="00A84817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5</w:t>
            </w:r>
          </w:p>
        </w:tc>
        <w:tc>
          <w:tcPr>
            <w:tcW w:w="2013" w:type="dxa"/>
          </w:tcPr>
          <w:p w:rsidR="00931C10" w:rsidRDefault="00A84817" w:rsidP="00931C10">
            <w:pPr>
              <w:jc w:val="center"/>
            </w:pPr>
            <w:r>
              <w:t xml:space="preserve">Турыгин А. </w:t>
            </w:r>
          </w:p>
        </w:tc>
        <w:tc>
          <w:tcPr>
            <w:tcW w:w="1144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FF00"/>
          </w:tcPr>
          <w:p w:rsidR="00931C10" w:rsidRDefault="00A84817" w:rsidP="00931C10">
            <w:pPr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FF0000"/>
          </w:tcPr>
          <w:p w:rsidR="00931C10" w:rsidRDefault="00A84817" w:rsidP="00931C10">
            <w:pPr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F0000"/>
          </w:tcPr>
          <w:p w:rsidR="00931C10" w:rsidRDefault="0008519F" w:rsidP="00931C10">
            <w:pPr>
              <w:jc w:val="center"/>
            </w:pPr>
            <w:r>
              <w:t>3</w:t>
            </w:r>
          </w:p>
        </w:tc>
      </w:tr>
      <w:tr w:rsidR="00931C10" w:rsidRPr="00EB20D1" w:rsidTr="009D3BE8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6</w:t>
            </w:r>
          </w:p>
        </w:tc>
        <w:tc>
          <w:tcPr>
            <w:tcW w:w="2013" w:type="dxa"/>
          </w:tcPr>
          <w:p w:rsidR="00931C10" w:rsidRDefault="00A84817" w:rsidP="00931C10">
            <w:pPr>
              <w:jc w:val="center"/>
            </w:pPr>
            <w:r>
              <w:t xml:space="preserve">Турыгин И. </w:t>
            </w:r>
          </w:p>
        </w:tc>
        <w:tc>
          <w:tcPr>
            <w:tcW w:w="1144" w:type="dxa"/>
            <w:shd w:val="clear" w:color="auto" w:fill="548DD4" w:themeFill="text2" w:themeFillTint="99"/>
          </w:tcPr>
          <w:p w:rsidR="00931C10" w:rsidRDefault="00A84817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A84817" w:rsidP="00931C10">
            <w:pPr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79" w:type="dxa"/>
            <w:shd w:val="clear" w:color="auto" w:fill="548DD4" w:themeFill="text2" w:themeFillTint="99"/>
          </w:tcPr>
          <w:p w:rsidR="00931C10" w:rsidRDefault="0008519F" w:rsidP="00931C10">
            <w:pPr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00B0F0"/>
          </w:tcPr>
          <w:p w:rsidR="00931C10" w:rsidRDefault="009D3BE8" w:rsidP="00931C10">
            <w:pPr>
              <w:jc w:val="center"/>
            </w:pPr>
            <w:r>
              <w:t>4</w:t>
            </w:r>
          </w:p>
        </w:tc>
      </w:tr>
      <w:tr w:rsidR="00931C10" w:rsidTr="00EB20D1">
        <w:tc>
          <w:tcPr>
            <w:tcW w:w="567" w:type="dxa"/>
          </w:tcPr>
          <w:p w:rsidR="00931C10" w:rsidRDefault="00931C10" w:rsidP="00EB20D1">
            <w:pPr>
              <w:jc w:val="center"/>
            </w:pPr>
            <w:r>
              <w:t>1</w:t>
            </w:r>
            <w:r w:rsidR="00EB20D1">
              <w:t>7</w:t>
            </w:r>
          </w:p>
        </w:tc>
        <w:tc>
          <w:tcPr>
            <w:tcW w:w="2013" w:type="dxa"/>
          </w:tcPr>
          <w:p w:rsidR="00931C10" w:rsidRDefault="00A84817" w:rsidP="00931C10">
            <w:pPr>
              <w:jc w:val="center"/>
            </w:pPr>
            <w:r>
              <w:t xml:space="preserve">Чуфистова Д. </w:t>
            </w:r>
          </w:p>
        </w:tc>
        <w:tc>
          <w:tcPr>
            <w:tcW w:w="1144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63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63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79" w:type="dxa"/>
            <w:shd w:val="clear" w:color="auto" w:fill="00B050"/>
          </w:tcPr>
          <w:p w:rsidR="00931C10" w:rsidRDefault="00A84817" w:rsidP="00931C10">
            <w:pPr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00B050"/>
          </w:tcPr>
          <w:p w:rsidR="00931C10" w:rsidRDefault="0008519F" w:rsidP="00931C10">
            <w:pPr>
              <w:jc w:val="center"/>
            </w:pPr>
            <w:r>
              <w:t>5</w:t>
            </w:r>
          </w:p>
        </w:tc>
      </w:tr>
    </w:tbl>
    <w:p w:rsidR="00EB20D1" w:rsidRDefault="00EB20D1" w:rsidP="00EB20D1">
      <w:pPr>
        <w:pStyle w:val="Default"/>
        <w:rPr>
          <w:b/>
          <w:bCs/>
          <w:i/>
          <w:iCs/>
          <w:sz w:val="28"/>
          <w:szCs w:val="28"/>
        </w:rPr>
      </w:pPr>
    </w:p>
    <w:p w:rsidR="00EB20D1" w:rsidRDefault="00EB20D1" w:rsidP="00EB20D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Выводы</w:t>
      </w:r>
      <w:r>
        <w:rPr>
          <w:sz w:val="28"/>
          <w:szCs w:val="28"/>
        </w:rPr>
        <w:t xml:space="preserve">: в </w:t>
      </w:r>
      <w:r w:rsidR="005E378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E3787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выявлено некоторое несоответствие между оценками учащихся и результатами </w:t>
      </w:r>
      <w:r w:rsidR="005E3787">
        <w:rPr>
          <w:sz w:val="28"/>
          <w:szCs w:val="28"/>
        </w:rPr>
        <w:t>ВПР</w:t>
      </w:r>
      <w:r>
        <w:rPr>
          <w:sz w:val="28"/>
          <w:szCs w:val="28"/>
        </w:rPr>
        <w:t xml:space="preserve">. Прослеживается необъективность оценивания знаний обучающихся. </w:t>
      </w:r>
    </w:p>
    <w:p w:rsidR="005E3787" w:rsidRDefault="005E3787" w:rsidP="00EB20D1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B20D1" w:rsidRDefault="00EB20D1" w:rsidP="00EB20D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Необходимые меры по корректировке негативных тенденций: </w:t>
      </w:r>
    </w:p>
    <w:p w:rsidR="00EB20D1" w:rsidRDefault="005E3787" w:rsidP="00EB20D1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20D1">
        <w:rPr>
          <w:sz w:val="28"/>
          <w:szCs w:val="28"/>
        </w:rPr>
        <w:t xml:space="preserve">усилить административный контроль за организацией учебной деятельности учащихся и ее результативностью; </w:t>
      </w:r>
    </w:p>
    <w:p w:rsidR="00EB20D1" w:rsidRDefault="005E3787" w:rsidP="00EB20D1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20D1">
        <w:rPr>
          <w:sz w:val="28"/>
          <w:szCs w:val="28"/>
        </w:rPr>
        <w:t xml:space="preserve">провести анализ полученных результатов для планомерного совершенствования работы по объективному оцениванию результатов обучающихся; </w:t>
      </w:r>
    </w:p>
    <w:p w:rsidR="00EB20D1" w:rsidRDefault="005E3787" w:rsidP="00EB20D1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20D1">
        <w:rPr>
          <w:sz w:val="28"/>
          <w:szCs w:val="28"/>
        </w:rPr>
        <w:t xml:space="preserve">организовать проведение практических семинаров для учителей и классных руководителей по оптимизации учебного процесса; </w:t>
      </w:r>
    </w:p>
    <w:p w:rsidR="00EB20D1" w:rsidRDefault="005E3787" w:rsidP="00EB20D1">
      <w:pPr>
        <w:pStyle w:val="Default"/>
        <w:rPr>
          <w:sz w:val="32"/>
          <w:szCs w:val="32"/>
        </w:rPr>
      </w:pPr>
      <w:r>
        <w:rPr>
          <w:sz w:val="23"/>
          <w:szCs w:val="23"/>
        </w:rPr>
        <w:t xml:space="preserve">- </w:t>
      </w:r>
      <w:r w:rsidR="00EB20D1">
        <w:rPr>
          <w:sz w:val="28"/>
          <w:szCs w:val="28"/>
        </w:rPr>
        <w:t xml:space="preserve">внедрить в образовательную практику различные методы и приёмы оценки знаний </w:t>
      </w:r>
      <w:r w:rsidR="00EB20D1">
        <w:rPr>
          <w:sz w:val="32"/>
          <w:szCs w:val="32"/>
        </w:rPr>
        <w:t xml:space="preserve">обучающихся. </w:t>
      </w:r>
    </w:p>
    <w:p w:rsidR="00EB20D1" w:rsidRDefault="00EB20D1" w:rsidP="00EB20D1">
      <w:pPr>
        <w:pStyle w:val="Default"/>
        <w:rPr>
          <w:sz w:val="32"/>
          <w:szCs w:val="32"/>
        </w:rPr>
      </w:pPr>
    </w:p>
    <w:p w:rsidR="00EB20D1" w:rsidRDefault="005E3787" w:rsidP="00EB20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Корректирование </w:t>
      </w:r>
      <w:proofErr w:type="gramStart"/>
      <w:r w:rsidR="00EB20D1">
        <w:rPr>
          <w:sz w:val="28"/>
          <w:szCs w:val="28"/>
        </w:rPr>
        <w:t>учебных результатов</w:t>
      </w:r>
      <w:proofErr w:type="gramEnd"/>
      <w:r w:rsidR="00EB20D1">
        <w:rPr>
          <w:sz w:val="28"/>
          <w:szCs w:val="28"/>
        </w:rPr>
        <w:t xml:space="preserve"> обучающихся используется для: </w:t>
      </w:r>
    </w:p>
    <w:p w:rsidR="00EB20D1" w:rsidRDefault="00EB20D1" w:rsidP="00EB20D1">
      <w:pPr>
        <w:pStyle w:val="Default"/>
        <w:spacing w:after="4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оптимизации процесса индивидуального обучения; </w:t>
      </w:r>
    </w:p>
    <w:p w:rsidR="00EB20D1" w:rsidRDefault="00EB20D1" w:rsidP="00EB20D1">
      <w:pPr>
        <w:pStyle w:val="Default"/>
        <w:spacing w:after="4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определения профессиональных дефицитов педагогов</w:t>
      </w:r>
      <w:r w:rsidR="00D338CC">
        <w:rPr>
          <w:sz w:val="28"/>
          <w:szCs w:val="28"/>
        </w:rPr>
        <w:t>;</w:t>
      </w:r>
    </w:p>
    <w:p w:rsidR="00EB20D1" w:rsidRDefault="00EB20D1" w:rsidP="00EB20D1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определения фактов необъективного оценивания учебных результатов огбучающихся. </w:t>
      </w:r>
    </w:p>
    <w:p w:rsidR="00CF6BF1" w:rsidRDefault="00CF6BF1" w:rsidP="00D338CC">
      <w:pPr>
        <w:pStyle w:val="Default"/>
        <w:jc w:val="center"/>
        <w:rPr>
          <w:b/>
          <w:bCs/>
          <w:sz w:val="28"/>
          <w:szCs w:val="28"/>
        </w:rPr>
      </w:pPr>
    </w:p>
    <w:p w:rsidR="00CF6BF1" w:rsidRDefault="00CF6BF1" w:rsidP="00D338CC">
      <w:pPr>
        <w:pStyle w:val="Default"/>
        <w:jc w:val="center"/>
        <w:rPr>
          <w:b/>
          <w:bCs/>
          <w:sz w:val="28"/>
          <w:szCs w:val="28"/>
        </w:rPr>
      </w:pPr>
    </w:p>
    <w:p w:rsidR="00CF6BF1" w:rsidRDefault="00CF6BF1" w:rsidP="00D338CC">
      <w:pPr>
        <w:pStyle w:val="Default"/>
        <w:jc w:val="center"/>
        <w:rPr>
          <w:b/>
          <w:bCs/>
          <w:sz w:val="28"/>
          <w:szCs w:val="28"/>
        </w:rPr>
      </w:pPr>
    </w:p>
    <w:p w:rsidR="00CF6BF1" w:rsidRDefault="00CF6BF1" w:rsidP="00D338CC">
      <w:pPr>
        <w:pStyle w:val="Default"/>
        <w:jc w:val="center"/>
        <w:rPr>
          <w:b/>
          <w:bCs/>
          <w:sz w:val="28"/>
          <w:szCs w:val="28"/>
        </w:rPr>
      </w:pPr>
    </w:p>
    <w:p w:rsidR="00CF6BF1" w:rsidRDefault="00813CC0" w:rsidP="00D338C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Управленческие решения по результатам анализа</w:t>
      </w:r>
    </w:p>
    <w:p w:rsidR="00CF6BF1" w:rsidRDefault="00CF6BF1" w:rsidP="00D338CC">
      <w:pPr>
        <w:pStyle w:val="Default"/>
        <w:jc w:val="center"/>
        <w:rPr>
          <w:b/>
          <w:bCs/>
          <w:sz w:val="28"/>
          <w:szCs w:val="28"/>
        </w:rPr>
      </w:pPr>
    </w:p>
    <w:p w:rsidR="00813CC0" w:rsidRDefault="00385E95" w:rsidP="00D338CC">
      <w:pPr>
        <w:pStyle w:val="Default"/>
        <w:jc w:val="center"/>
        <w:rPr>
          <w:bCs/>
          <w:color w:val="auto"/>
          <w:sz w:val="28"/>
          <w:szCs w:val="28"/>
        </w:rPr>
      </w:pPr>
      <w:r w:rsidRPr="00813CC0">
        <w:rPr>
          <w:bCs/>
          <w:color w:val="auto"/>
          <w:sz w:val="28"/>
          <w:szCs w:val="28"/>
        </w:rPr>
        <w:t>Работ</w:t>
      </w:r>
      <w:r w:rsidR="00813CC0" w:rsidRPr="00813CC0">
        <w:rPr>
          <w:bCs/>
          <w:color w:val="auto"/>
          <w:sz w:val="28"/>
          <w:szCs w:val="28"/>
        </w:rPr>
        <w:t>а</w:t>
      </w:r>
      <w:r w:rsidRPr="00813CC0">
        <w:rPr>
          <w:bCs/>
          <w:color w:val="auto"/>
          <w:sz w:val="28"/>
          <w:szCs w:val="28"/>
        </w:rPr>
        <w:t xml:space="preserve"> по повышению эффективности </w:t>
      </w:r>
    </w:p>
    <w:p w:rsidR="00385E95" w:rsidRPr="00813CC0" w:rsidRDefault="00385E95" w:rsidP="00D338CC">
      <w:pPr>
        <w:pStyle w:val="Default"/>
        <w:jc w:val="center"/>
        <w:rPr>
          <w:color w:val="auto"/>
          <w:sz w:val="28"/>
          <w:szCs w:val="28"/>
        </w:rPr>
      </w:pPr>
      <w:r w:rsidRPr="00813CC0">
        <w:rPr>
          <w:bCs/>
          <w:color w:val="auto"/>
          <w:sz w:val="28"/>
          <w:szCs w:val="28"/>
        </w:rPr>
        <w:t>управления качеством образования</w:t>
      </w:r>
    </w:p>
    <w:p w:rsidR="00385E95" w:rsidRDefault="00385E95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основе работы учреждения по повышению эффективности управления качеством образования серьезную роль играет вопрос об объективности оценивания образовательных результатов обучающихся. </w:t>
      </w:r>
    </w:p>
    <w:p w:rsidR="00385E95" w:rsidRDefault="00385E95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Актуальность данного вопроса определяется наличием противоречий между внутренней системой оценки качества образования и результатами внешних оценочных процедур, между пониманием оценки и ожидаемой отметкой со стороны родителей и самого обучающегося, с одной стороны, и оценкой и отметкой, выставляемой учителем, с другой стороны. </w:t>
      </w:r>
    </w:p>
    <w:p w:rsidR="00385E95" w:rsidRDefault="00385E95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Пути  решения данных противоречий:</w:t>
      </w:r>
    </w:p>
    <w:p w:rsidR="00385E95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</w:t>
      </w:r>
      <w:r w:rsidR="00385E95">
        <w:rPr>
          <w:sz w:val="28"/>
          <w:szCs w:val="28"/>
        </w:rPr>
        <w:t xml:space="preserve">недрение в работу системы критериального оценивания учебных достижений обучающихся. </w:t>
      </w:r>
    </w:p>
    <w:p w:rsidR="00385E95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</w:t>
      </w:r>
      <w:r w:rsidR="00385E95">
        <w:rPr>
          <w:sz w:val="28"/>
          <w:szCs w:val="28"/>
        </w:rPr>
        <w:t xml:space="preserve">ринципы: </w:t>
      </w:r>
    </w:p>
    <w:p w:rsidR="00385E95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E95">
        <w:rPr>
          <w:sz w:val="28"/>
          <w:szCs w:val="28"/>
        </w:rPr>
        <w:t>оценивается работа, а не личность ребенка</w:t>
      </w:r>
      <w:r>
        <w:rPr>
          <w:sz w:val="28"/>
          <w:szCs w:val="28"/>
        </w:rPr>
        <w:t>;</w:t>
      </w:r>
      <w:r w:rsidR="00385E95">
        <w:rPr>
          <w:sz w:val="28"/>
          <w:szCs w:val="28"/>
        </w:rPr>
        <w:t xml:space="preserve"> </w:t>
      </w:r>
    </w:p>
    <w:p w:rsidR="00385E95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E95">
        <w:rPr>
          <w:sz w:val="28"/>
          <w:szCs w:val="28"/>
        </w:rPr>
        <w:t>выполненная работа ученика проверяется по четким критериям, которые известны заранее всем участникам образовательных отношений</w:t>
      </w:r>
      <w:r>
        <w:rPr>
          <w:sz w:val="28"/>
          <w:szCs w:val="28"/>
        </w:rPr>
        <w:t>;</w:t>
      </w:r>
    </w:p>
    <w:p w:rsidR="00385E95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E95">
        <w:rPr>
          <w:sz w:val="28"/>
          <w:szCs w:val="28"/>
        </w:rPr>
        <w:t>открытость критериев позволяет ученику самостоятельно оценить свой уровень освоения материала, способствует самооцениванию</w:t>
      </w:r>
      <w:r>
        <w:rPr>
          <w:sz w:val="28"/>
          <w:szCs w:val="28"/>
        </w:rPr>
        <w:t>;</w:t>
      </w:r>
    </w:p>
    <w:p w:rsidR="00385E95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E95">
        <w:rPr>
          <w:sz w:val="28"/>
          <w:szCs w:val="28"/>
        </w:rPr>
        <w:t>оценивание позволяет отслеживать индивидуальный прогресс ученика и предоставляет возможность коррекции индивидуальной траектории</w:t>
      </w:r>
      <w:r>
        <w:rPr>
          <w:sz w:val="28"/>
          <w:szCs w:val="28"/>
        </w:rPr>
        <w:t>;</w:t>
      </w:r>
      <w:r w:rsidR="00385E95">
        <w:rPr>
          <w:sz w:val="28"/>
          <w:szCs w:val="28"/>
        </w:rPr>
        <w:t xml:space="preserve"> </w:t>
      </w:r>
    </w:p>
    <w:p w:rsidR="00EB20D1" w:rsidRDefault="00B00051" w:rsidP="00385E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E95">
        <w:rPr>
          <w:sz w:val="28"/>
          <w:szCs w:val="28"/>
        </w:rPr>
        <w:t>объективность и открытость оценивания позволяет увидеть профессиональные дефициты педагогов и спланировать методическую работу школы</w:t>
      </w:r>
      <w:r>
        <w:rPr>
          <w:sz w:val="28"/>
          <w:szCs w:val="28"/>
        </w:rPr>
        <w:t>.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Направления: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Нормативно-правовое обеспечение </w:t>
      </w:r>
    </w:p>
    <w:p w:rsidR="00B00051" w:rsidRDefault="00B00051" w:rsidP="00B00051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 новую</w:t>
      </w:r>
      <w:proofErr w:type="gramEnd"/>
      <w:r>
        <w:rPr>
          <w:sz w:val="28"/>
          <w:szCs w:val="28"/>
        </w:rPr>
        <w:t xml:space="preserve"> редакцияю локального нормативного акта «Положение о порядке проведения текущей и промежуточной аттестации обучающихся».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данном положении  определить  общедидактические критерии к отметкам; дать понятия «грубая ошибка», «негрубая ошибка», «однотипная ошибка», «недочет»; </w:t>
      </w:r>
      <w:r w:rsidR="001035BB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 xml:space="preserve"> правила выставления </w:t>
      </w:r>
      <w:r w:rsidR="00D338CC">
        <w:rPr>
          <w:sz w:val="28"/>
          <w:szCs w:val="28"/>
        </w:rPr>
        <w:t xml:space="preserve">четвертных </w:t>
      </w:r>
      <w:r>
        <w:rPr>
          <w:sz w:val="28"/>
          <w:szCs w:val="28"/>
        </w:rPr>
        <w:t>и годовых отметок; четко определить нормы накопляемости отметок, в зависимости от количества часов отводимых на предмет по учебному плану.</w:t>
      </w:r>
      <w:r w:rsidRPr="00B00051">
        <w:rPr>
          <w:sz w:val="28"/>
          <w:szCs w:val="28"/>
        </w:rPr>
        <w:t xml:space="preserve">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Методическому совету школы разрабатать критерии оценивания знаний, умений и </w:t>
      </w:r>
      <w:proofErr w:type="gramStart"/>
      <w:r>
        <w:rPr>
          <w:sz w:val="28"/>
          <w:szCs w:val="28"/>
        </w:rPr>
        <w:t>навыков</w:t>
      </w:r>
      <w:proofErr w:type="gramEnd"/>
      <w:r>
        <w:rPr>
          <w:sz w:val="28"/>
          <w:szCs w:val="28"/>
        </w:rPr>
        <w:t xml:space="preserve"> обучающихся при осуществлении текущего контроля </w:t>
      </w:r>
      <w:r>
        <w:rPr>
          <w:sz w:val="28"/>
          <w:szCs w:val="28"/>
        </w:rPr>
        <w:lastRenderedPageBreak/>
        <w:t xml:space="preserve">успеваемости, промежуточной аттестации по всем предметам учебного плана.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основе общих принципов оценивания, закрепленных в Положении о порядке проведения текущей и промежуточной аттестации обучающихся, разработать  критерии оценивания по всем видам учебных работ обучающихся для всех учебных предметов учебного плана каждого уровня обучения. </w:t>
      </w:r>
    </w:p>
    <w:p w:rsidR="001035BB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Данные критерии  утвердить как приложения к рабочим программам, а, следовательно, к основным образовательным программам учреждения.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Методическая работа </w:t>
      </w:r>
    </w:p>
    <w:p w:rsidR="00B00051" w:rsidRPr="001035BB" w:rsidRDefault="00B00051" w:rsidP="00B00051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B2B20">
        <w:rPr>
          <w:sz w:val="28"/>
          <w:szCs w:val="28"/>
        </w:rPr>
        <w:t xml:space="preserve">учебный </w:t>
      </w:r>
      <w:proofErr w:type="gramStart"/>
      <w:r w:rsidR="007B2B20">
        <w:rPr>
          <w:sz w:val="28"/>
          <w:szCs w:val="28"/>
        </w:rPr>
        <w:t>год</w:t>
      </w:r>
      <w:bookmarkStart w:id="0" w:name="_GoBack"/>
      <w:bookmarkEnd w:id="0"/>
      <w:r>
        <w:rPr>
          <w:sz w:val="28"/>
          <w:szCs w:val="28"/>
        </w:rPr>
        <w:t xml:space="preserve">  выбрана</w:t>
      </w:r>
      <w:proofErr w:type="gramEnd"/>
      <w:r>
        <w:rPr>
          <w:sz w:val="28"/>
          <w:szCs w:val="28"/>
        </w:rPr>
        <w:t xml:space="preserve"> единая методическая тема: </w:t>
      </w:r>
      <w:r w:rsidRPr="001035BB">
        <w:rPr>
          <w:color w:val="auto"/>
          <w:sz w:val="28"/>
          <w:szCs w:val="28"/>
        </w:rPr>
        <w:t xml:space="preserve">«Обеспечение объективности оценки качества знаний обучающихся».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Деятельность методического совета школы направить на внедрение системы критериального оценивания учебных достижений обучающихся. </w:t>
      </w:r>
    </w:p>
    <w:p w:rsidR="00B00051" w:rsidRDefault="00B00051" w:rsidP="00B00051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Провести  </w:t>
      </w:r>
      <w:r w:rsidRPr="001035BB">
        <w:rPr>
          <w:color w:val="auto"/>
          <w:sz w:val="28"/>
          <w:szCs w:val="28"/>
        </w:rPr>
        <w:t>корпоративное</w:t>
      </w:r>
      <w:proofErr w:type="gramEnd"/>
      <w:r w:rsidRPr="001035BB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обучения педагогов  по теме: «</w:t>
      </w:r>
      <w:r w:rsidR="001035BB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объективной оценки образовательных результатов учащихся» с привлечением специалистов ГАОУ ДПО СО «ИРО».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Провести педагогический совет на тему «Объективность оценки знаний и качество знаний обучающихся», </w:t>
      </w:r>
      <w:proofErr w:type="gramStart"/>
      <w:r w:rsidR="00D338CC">
        <w:rPr>
          <w:sz w:val="28"/>
          <w:szCs w:val="28"/>
        </w:rPr>
        <w:t xml:space="preserve">состоящий </w:t>
      </w:r>
      <w:r>
        <w:rPr>
          <w:sz w:val="28"/>
          <w:szCs w:val="28"/>
        </w:rPr>
        <w:t xml:space="preserve"> из</w:t>
      </w:r>
      <w:proofErr w:type="gramEnd"/>
      <w:r>
        <w:rPr>
          <w:sz w:val="28"/>
          <w:szCs w:val="28"/>
        </w:rPr>
        <w:t xml:space="preserve"> теоретической и практической частей</w:t>
      </w:r>
      <w:r w:rsidR="001035BB">
        <w:rPr>
          <w:sz w:val="28"/>
          <w:szCs w:val="28"/>
        </w:rPr>
        <w:t>, в октябре 20</w:t>
      </w:r>
      <w:r w:rsidR="007B2B20">
        <w:rPr>
          <w:sz w:val="28"/>
          <w:szCs w:val="28"/>
        </w:rPr>
        <w:t>20</w:t>
      </w:r>
      <w:r w:rsidR="001035B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1035BB">
        <w:rPr>
          <w:sz w:val="28"/>
          <w:szCs w:val="28"/>
        </w:rPr>
        <w:t xml:space="preserve">постоянно действующего семинара </w:t>
      </w:r>
      <w:r>
        <w:rPr>
          <w:sz w:val="28"/>
          <w:szCs w:val="28"/>
        </w:rPr>
        <w:t xml:space="preserve"> прове</w:t>
      </w:r>
      <w:r w:rsidR="00D338CC">
        <w:rPr>
          <w:sz w:val="28"/>
          <w:szCs w:val="28"/>
        </w:rPr>
        <w:t>сти</w:t>
      </w:r>
      <w:r>
        <w:rPr>
          <w:sz w:val="28"/>
          <w:szCs w:val="28"/>
        </w:rPr>
        <w:t xml:space="preserve"> открытые уроки с </w:t>
      </w:r>
      <w:r w:rsidR="001035BB">
        <w:rPr>
          <w:sz w:val="28"/>
          <w:szCs w:val="28"/>
        </w:rPr>
        <w:t>1</w:t>
      </w:r>
      <w:r>
        <w:rPr>
          <w:sz w:val="28"/>
          <w:szCs w:val="28"/>
        </w:rPr>
        <w:t xml:space="preserve">по 11 класс.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проведении открытых уроков перед педагогами постав</w:t>
      </w:r>
      <w:r w:rsidR="00D338CC">
        <w:rPr>
          <w:sz w:val="28"/>
          <w:szCs w:val="28"/>
        </w:rPr>
        <w:t>ить</w:t>
      </w:r>
      <w:r>
        <w:rPr>
          <w:sz w:val="28"/>
          <w:szCs w:val="28"/>
        </w:rPr>
        <w:t xml:space="preserve"> задач</w:t>
      </w:r>
      <w:r w:rsidR="00D338CC">
        <w:rPr>
          <w:sz w:val="28"/>
          <w:szCs w:val="28"/>
        </w:rPr>
        <w:t>у</w:t>
      </w:r>
      <w:r>
        <w:rPr>
          <w:sz w:val="28"/>
          <w:szCs w:val="28"/>
        </w:rPr>
        <w:t xml:space="preserve"> продемонстрировать процедуры оценивания обучающихся в соответствии с принципами критериального оценивания. </w:t>
      </w:r>
    </w:p>
    <w:p w:rsidR="00B00051" w:rsidRDefault="00B00051" w:rsidP="00B00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итогам посещения открытых уроков прове</w:t>
      </w:r>
      <w:r w:rsidR="00D338CC"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 обсуждение, определ</w:t>
      </w:r>
      <w:r w:rsidR="00D338CC">
        <w:rPr>
          <w:sz w:val="28"/>
          <w:szCs w:val="28"/>
        </w:rPr>
        <w:t xml:space="preserve">ить </w:t>
      </w:r>
      <w:r>
        <w:rPr>
          <w:sz w:val="28"/>
          <w:szCs w:val="28"/>
        </w:rPr>
        <w:t>сильные и слабые стороны, перспективы дальнейшей работы в данном направлении.</w:t>
      </w:r>
    </w:p>
    <w:p w:rsidR="00D338CC" w:rsidRDefault="00D338CC" w:rsidP="00D338C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Организационно-контрольные мероприятия </w:t>
      </w:r>
    </w:p>
    <w:p w:rsidR="00D338CC" w:rsidRDefault="00D338CC" w:rsidP="00D338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Вопросы объективности оценивания и повышения качества подготовки обучающихся вклю</w:t>
      </w:r>
      <w:r w:rsidR="001035BB">
        <w:rPr>
          <w:sz w:val="28"/>
          <w:szCs w:val="28"/>
        </w:rPr>
        <w:t xml:space="preserve">чить </w:t>
      </w:r>
      <w:r>
        <w:rPr>
          <w:sz w:val="28"/>
          <w:szCs w:val="28"/>
        </w:rPr>
        <w:t xml:space="preserve"> в план внутришкольного контроля, план проведения совещаний при заместителе директора по учебно-воспитательной работе. </w:t>
      </w:r>
    </w:p>
    <w:p w:rsidR="00D338CC" w:rsidRDefault="00D338CC" w:rsidP="00D338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ряду учебных предметов (математика, русский язык, учебные предметы, по которым проводятся ВПР, учебные предметы, которые выбирают обучающиеся на ГИА) проводи</w:t>
      </w:r>
      <w:r w:rsidR="001035BB">
        <w:rPr>
          <w:sz w:val="28"/>
          <w:szCs w:val="28"/>
        </w:rPr>
        <w:t>ть</w:t>
      </w:r>
      <w:r>
        <w:rPr>
          <w:sz w:val="28"/>
          <w:szCs w:val="28"/>
        </w:rPr>
        <w:t xml:space="preserve"> ежемесячные внутришкольные мониторинги в форме независимых оценочных процедур (ВПР, ОГЭ, ЕГЭ), проводи</w:t>
      </w:r>
      <w:r w:rsidR="001035BB">
        <w:rPr>
          <w:sz w:val="28"/>
          <w:szCs w:val="28"/>
        </w:rPr>
        <w:t xml:space="preserve">ть </w:t>
      </w:r>
      <w:r>
        <w:rPr>
          <w:sz w:val="28"/>
          <w:szCs w:val="28"/>
        </w:rPr>
        <w:t>анализ результатов с позиции определения корреляции текущего контроля успеваемости и результатов данных работ.</w:t>
      </w:r>
    </w:p>
    <w:p w:rsidR="008A23AC" w:rsidRDefault="008A23AC" w:rsidP="00D338CC">
      <w:pPr>
        <w:pStyle w:val="Default"/>
        <w:rPr>
          <w:sz w:val="28"/>
          <w:szCs w:val="28"/>
        </w:rPr>
      </w:pPr>
    </w:p>
    <w:p w:rsidR="008A23AC" w:rsidRPr="00B00051" w:rsidRDefault="008A23AC" w:rsidP="00D338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УВР: Чистополова Л.В.</w:t>
      </w:r>
    </w:p>
    <w:sectPr w:rsidR="008A23AC" w:rsidRPr="00B00051" w:rsidSect="00E6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C10"/>
    <w:rsid w:val="0008519F"/>
    <w:rsid w:val="001035BB"/>
    <w:rsid w:val="00385E95"/>
    <w:rsid w:val="005E3787"/>
    <w:rsid w:val="007B2B20"/>
    <w:rsid w:val="00813CC0"/>
    <w:rsid w:val="008A23AC"/>
    <w:rsid w:val="00931C10"/>
    <w:rsid w:val="009D3BE8"/>
    <w:rsid w:val="00A84817"/>
    <w:rsid w:val="00B00051"/>
    <w:rsid w:val="00CF6BF1"/>
    <w:rsid w:val="00D338CC"/>
    <w:rsid w:val="00E653AC"/>
    <w:rsid w:val="00EB20D1"/>
    <w:rsid w:val="00E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F3A6"/>
  <w15:docId w15:val="{69C87F8D-7151-439F-8126-23A27FF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1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Валентина Владимировна</cp:lastModifiedBy>
  <cp:revision>4</cp:revision>
  <dcterms:created xsi:type="dcterms:W3CDTF">2019-10-14T04:57:00Z</dcterms:created>
  <dcterms:modified xsi:type="dcterms:W3CDTF">2021-02-11T11:44:00Z</dcterms:modified>
</cp:coreProperties>
</file>